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F" w:rsidRDefault="003333DF" w:rsidP="00333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9301018" cy="5232627"/>
            <wp:effectExtent l="0" t="0" r="0" b="6350"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062" cy="5250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3DF" w:rsidRDefault="003333DF" w:rsidP="003333DF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3333DF" w:rsidSect="003333DF">
          <w:headerReference w:type="default" r:id="rId8"/>
          <w:footerReference w:type="default" r:id="rId9"/>
          <w:type w:val="continuous"/>
          <w:pgSz w:w="16838" w:h="11906" w:orient="landscape"/>
          <w:pgMar w:top="1418" w:right="1103" w:bottom="851" w:left="1276" w:header="709" w:footer="709" w:gutter="0"/>
          <w:paperSrc w:first="7"/>
          <w:cols w:space="708"/>
          <w:docGrid w:linePitch="360"/>
        </w:sectPr>
      </w:pPr>
    </w:p>
    <w:p w:rsidR="003333DF" w:rsidRDefault="003333DF" w:rsidP="00333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33DF" w:rsidRDefault="003333DF" w:rsidP="00333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33DF" w:rsidRPr="00FD1417" w:rsidRDefault="003333DF" w:rsidP="003333DF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D1417">
        <w:rPr>
          <w:rFonts w:ascii="Times New Roman" w:hAnsi="Times New Roman" w:cs="Times New Roman"/>
          <w:b/>
          <w:color w:val="FF0000"/>
          <w:sz w:val="36"/>
          <w:szCs w:val="36"/>
        </w:rPr>
        <w:t>DAĞITIM BEDELİNE YÖNELİK BASIN AÇIKLAMASI</w:t>
      </w:r>
    </w:p>
    <w:p w:rsidR="005206E1" w:rsidRPr="00AF040D" w:rsidRDefault="008704B8" w:rsidP="007C0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Elektrik f</w:t>
      </w:r>
      <w:r w:rsidR="00101C5B" w:rsidRPr="00AF040D">
        <w:rPr>
          <w:rFonts w:ascii="Times New Roman" w:hAnsi="Times New Roman" w:cs="Times New Roman"/>
          <w:sz w:val="24"/>
          <w:szCs w:val="24"/>
        </w:rPr>
        <w:t>aturalar</w:t>
      </w:r>
      <w:r>
        <w:rPr>
          <w:rFonts w:ascii="Times New Roman" w:hAnsi="Times New Roman" w:cs="Times New Roman"/>
          <w:sz w:val="24"/>
          <w:szCs w:val="24"/>
        </w:rPr>
        <w:t>ında üç ana unsur bulunmaktadır. Bunlar;</w:t>
      </w:r>
      <w:r w:rsidR="00101C5B" w:rsidRPr="00AF040D">
        <w:rPr>
          <w:rFonts w:ascii="Times New Roman" w:hAnsi="Times New Roman" w:cs="Times New Roman"/>
          <w:sz w:val="24"/>
          <w:szCs w:val="24"/>
        </w:rPr>
        <w:t xml:space="preserve"> enerji bedeli, dağıtım bedeli </w:t>
      </w:r>
      <w:r>
        <w:rPr>
          <w:rFonts w:ascii="Times New Roman" w:hAnsi="Times New Roman" w:cs="Times New Roman"/>
          <w:sz w:val="24"/>
          <w:szCs w:val="24"/>
        </w:rPr>
        <w:t>ile</w:t>
      </w:r>
      <w:r w:rsidR="00101C5B" w:rsidRPr="00AF040D">
        <w:rPr>
          <w:rFonts w:ascii="Times New Roman" w:hAnsi="Times New Roman" w:cs="Times New Roman"/>
          <w:sz w:val="24"/>
          <w:szCs w:val="24"/>
        </w:rPr>
        <w:t xml:space="preserve"> vergi</w:t>
      </w:r>
      <w:r>
        <w:rPr>
          <w:rFonts w:ascii="Times New Roman" w:hAnsi="Times New Roman" w:cs="Times New Roman"/>
          <w:sz w:val="24"/>
          <w:szCs w:val="24"/>
        </w:rPr>
        <w:t>, f</w:t>
      </w:r>
      <w:r w:rsidR="00101C5B" w:rsidRPr="00AF040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C5B" w:rsidRPr="00AF040D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C5B" w:rsidRPr="00AF040D">
        <w:rPr>
          <w:rFonts w:ascii="Times New Roman" w:hAnsi="Times New Roman" w:cs="Times New Roman"/>
          <w:sz w:val="24"/>
          <w:szCs w:val="24"/>
        </w:rPr>
        <w:t>paylar</w:t>
      </w:r>
      <w:r w:rsidR="00FF310C" w:rsidRPr="00AF040D">
        <w:rPr>
          <w:rFonts w:ascii="Times New Roman" w:hAnsi="Times New Roman" w:cs="Times New Roman"/>
          <w:sz w:val="24"/>
          <w:szCs w:val="24"/>
        </w:rPr>
        <w:t>dır.</w:t>
      </w:r>
    </w:p>
    <w:p w:rsidR="00294825" w:rsidRDefault="008704B8" w:rsidP="007C0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Elektrik</w:t>
      </w:r>
      <w:r w:rsidR="00927413">
        <w:rPr>
          <w:rFonts w:ascii="Times New Roman" w:hAnsi="Times New Roman" w:cs="Times New Roman"/>
          <w:sz w:val="24"/>
          <w:szCs w:val="24"/>
        </w:rPr>
        <w:t>, yaklaşık olarak 60.000 personelin çalışmakta olduğu</w:t>
      </w:r>
      <w:r>
        <w:rPr>
          <w:rFonts w:ascii="Times New Roman" w:hAnsi="Times New Roman" w:cs="Times New Roman"/>
          <w:sz w:val="24"/>
          <w:szCs w:val="24"/>
        </w:rPr>
        <w:t xml:space="preserve"> santrallerde üretilir. Elektriği üreten şirketler, üretim maliyetlerini dikkate alarak rekabete açık bir ortamda ürünlerini santral çıkışında piyasaya arz ederler. </w:t>
      </w:r>
      <w:r w:rsidR="00294825">
        <w:rPr>
          <w:rFonts w:ascii="Times New Roman" w:hAnsi="Times New Roman" w:cs="Times New Roman"/>
          <w:sz w:val="24"/>
          <w:szCs w:val="24"/>
        </w:rPr>
        <w:t>Yerli ve yenilenebilir enerji gibi desteklen</w:t>
      </w:r>
      <w:r w:rsidR="00E94549">
        <w:rPr>
          <w:rFonts w:ascii="Times New Roman" w:hAnsi="Times New Roman" w:cs="Times New Roman"/>
          <w:sz w:val="24"/>
          <w:szCs w:val="24"/>
        </w:rPr>
        <w:t xml:space="preserve">mesi gerekli olan </w:t>
      </w:r>
      <w:r w:rsidR="00294825">
        <w:rPr>
          <w:rFonts w:ascii="Times New Roman" w:hAnsi="Times New Roman" w:cs="Times New Roman"/>
          <w:sz w:val="24"/>
          <w:szCs w:val="24"/>
        </w:rPr>
        <w:t>bazı üretimler haricindeki</w:t>
      </w:r>
      <w:r w:rsidR="00E94549">
        <w:rPr>
          <w:rFonts w:ascii="Times New Roman" w:hAnsi="Times New Roman" w:cs="Times New Roman"/>
          <w:sz w:val="24"/>
          <w:szCs w:val="24"/>
        </w:rPr>
        <w:t>,</w:t>
      </w:r>
      <w:r w:rsidR="00294825">
        <w:rPr>
          <w:rFonts w:ascii="Times New Roman" w:hAnsi="Times New Roman" w:cs="Times New Roman"/>
          <w:sz w:val="24"/>
          <w:szCs w:val="24"/>
        </w:rPr>
        <w:t xml:space="preserve"> ekonomik olarak en uygun üretim maliyetleri enerji bedelini oluşturmaktadır.</w:t>
      </w:r>
    </w:p>
    <w:p w:rsidR="00DE7895" w:rsidRPr="00074DF6" w:rsidRDefault="00294825" w:rsidP="007C03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Kaynağın bulunduğu bölgedeki santrallerde üretilen enerjinin öncelikle </w:t>
      </w:r>
      <w:r w:rsidR="00531A62">
        <w:rPr>
          <w:rFonts w:ascii="Times New Roman" w:hAnsi="Times New Roman" w:cs="Times New Roman"/>
          <w:sz w:val="24"/>
          <w:szCs w:val="24"/>
        </w:rPr>
        <w:t xml:space="preserve">kilometrelerce uzakta bulunan </w:t>
      </w:r>
      <w:r>
        <w:rPr>
          <w:rFonts w:ascii="Times New Roman" w:hAnsi="Times New Roman" w:cs="Times New Roman"/>
          <w:sz w:val="24"/>
          <w:szCs w:val="24"/>
        </w:rPr>
        <w:t xml:space="preserve">yerleşim alanlarına </w:t>
      </w:r>
      <w:r w:rsidR="00927413">
        <w:rPr>
          <w:rFonts w:ascii="Times New Roman" w:hAnsi="Times New Roman" w:cs="Times New Roman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</w:rPr>
        <w:t>iletilmesi daha sonra da</w:t>
      </w:r>
      <w:r w:rsidR="00927413">
        <w:rPr>
          <w:rFonts w:ascii="Times New Roman" w:hAnsi="Times New Roman" w:cs="Times New Roman"/>
          <w:sz w:val="24"/>
          <w:szCs w:val="24"/>
        </w:rPr>
        <w:t xml:space="preserve"> her türlü olumsuz hava ve coğrafi olarak zorlu </w:t>
      </w:r>
      <w:r w:rsidR="00915558">
        <w:rPr>
          <w:rFonts w:ascii="Times New Roman" w:hAnsi="Times New Roman" w:cs="Times New Roman"/>
          <w:sz w:val="24"/>
          <w:szCs w:val="24"/>
        </w:rPr>
        <w:t>şartlara</w:t>
      </w:r>
      <w:r w:rsidR="00927413">
        <w:rPr>
          <w:rFonts w:ascii="Times New Roman" w:hAnsi="Times New Roman" w:cs="Times New Roman"/>
          <w:sz w:val="24"/>
          <w:szCs w:val="24"/>
        </w:rPr>
        <w:t xml:space="preserve"> rağmen ülkemizin en ücra noktalarına kadar yaklaşık olarak 42 milyon </w:t>
      </w:r>
      <w:r w:rsidR="00915558">
        <w:rPr>
          <w:rFonts w:ascii="Times New Roman" w:hAnsi="Times New Roman" w:cs="Times New Roman"/>
          <w:sz w:val="24"/>
          <w:szCs w:val="24"/>
        </w:rPr>
        <w:t>aboneye</w:t>
      </w:r>
      <w:r>
        <w:rPr>
          <w:rFonts w:ascii="Times New Roman" w:hAnsi="Times New Roman" w:cs="Times New Roman"/>
          <w:sz w:val="24"/>
          <w:szCs w:val="24"/>
        </w:rPr>
        <w:t xml:space="preserve"> kapıda teslim edilmesi için yerleşim alanlarında dağıtılması gerekir. </w:t>
      </w:r>
      <w:proofErr w:type="gramStart"/>
      <w:r w:rsidR="00E94549" w:rsidRPr="00074DF6">
        <w:rPr>
          <w:rFonts w:ascii="Times New Roman" w:hAnsi="Times New Roman" w:cs="Times New Roman"/>
          <w:b/>
          <w:sz w:val="24"/>
          <w:szCs w:val="24"/>
        </w:rPr>
        <w:t>Ülkemizde i</w:t>
      </w:r>
      <w:r w:rsidRPr="00074DF6">
        <w:rPr>
          <w:rFonts w:ascii="Times New Roman" w:hAnsi="Times New Roman" w:cs="Times New Roman"/>
          <w:b/>
          <w:sz w:val="24"/>
          <w:szCs w:val="24"/>
        </w:rPr>
        <w:t xml:space="preserve">letim ve dağıtım faaliyetleri için </w:t>
      </w:r>
      <w:r w:rsidR="00915558" w:rsidRPr="00074DF6">
        <w:rPr>
          <w:rFonts w:ascii="Times New Roman" w:hAnsi="Times New Roman" w:cs="Times New Roman"/>
          <w:b/>
          <w:sz w:val="24"/>
          <w:szCs w:val="24"/>
        </w:rPr>
        <w:t xml:space="preserve">her yıl </w:t>
      </w:r>
      <w:r w:rsidR="00FE479D" w:rsidRPr="00074DF6">
        <w:rPr>
          <w:rFonts w:ascii="Times New Roman" w:hAnsi="Times New Roman" w:cs="Times New Roman"/>
          <w:b/>
          <w:sz w:val="24"/>
          <w:szCs w:val="24"/>
        </w:rPr>
        <w:t xml:space="preserve">ortalama </w:t>
      </w:r>
      <w:r w:rsidR="00927413" w:rsidRPr="00074DF6">
        <w:rPr>
          <w:rFonts w:ascii="Times New Roman" w:hAnsi="Times New Roman" w:cs="Times New Roman"/>
          <w:b/>
          <w:sz w:val="24"/>
          <w:szCs w:val="24"/>
        </w:rPr>
        <w:t xml:space="preserve">9,5 </w:t>
      </w:r>
      <w:r w:rsidR="00DD0591" w:rsidRPr="00074DF6">
        <w:rPr>
          <w:rFonts w:ascii="Times New Roman" w:hAnsi="Times New Roman" w:cs="Times New Roman"/>
          <w:b/>
          <w:sz w:val="24"/>
          <w:szCs w:val="24"/>
        </w:rPr>
        <w:t>milyar</w:t>
      </w:r>
      <w:r w:rsidR="00FE479D" w:rsidRPr="00074DF6">
        <w:rPr>
          <w:rFonts w:ascii="Times New Roman" w:hAnsi="Times New Roman" w:cs="Times New Roman"/>
          <w:b/>
          <w:sz w:val="24"/>
          <w:szCs w:val="24"/>
        </w:rPr>
        <w:t xml:space="preserve"> TL şebeke tesisi </w:t>
      </w:r>
      <w:r w:rsidR="00927413" w:rsidRPr="00074DF6">
        <w:rPr>
          <w:rFonts w:ascii="Times New Roman" w:hAnsi="Times New Roman" w:cs="Times New Roman"/>
          <w:b/>
          <w:sz w:val="24"/>
          <w:szCs w:val="24"/>
        </w:rPr>
        <w:t>ve diğer yatırımlar yapılmakta</w:t>
      </w:r>
      <w:r w:rsidR="00FE479D" w:rsidRPr="00074DF6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DE7895" w:rsidRPr="00074DF6">
        <w:rPr>
          <w:rFonts w:ascii="Times New Roman" w:hAnsi="Times New Roman" w:cs="Times New Roman"/>
          <w:b/>
          <w:sz w:val="24"/>
          <w:szCs w:val="24"/>
        </w:rPr>
        <w:t xml:space="preserve">yaklaşık </w:t>
      </w:r>
      <w:r w:rsidR="00DD0591" w:rsidRPr="00074DF6">
        <w:rPr>
          <w:rFonts w:ascii="Times New Roman" w:hAnsi="Times New Roman" w:cs="Times New Roman"/>
          <w:b/>
          <w:sz w:val="24"/>
          <w:szCs w:val="24"/>
        </w:rPr>
        <w:t>120 bin</w:t>
      </w:r>
      <w:r w:rsidR="00DE7895" w:rsidRPr="00074DF6">
        <w:rPr>
          <w:rFonts w:ascii="Times New Roman" w:hAnsi="Times New Roman" w:cs="Times New Roman"/>
          <w:b/>
          <w:sz w:val="24"/>
          <w:szCs w:val="24"/>
        </w:rPr>
        <w:t xml:space="preserve"> personel ile </w:t>
      </w:r>
      <w:r w:rsidR="00DD0591" w:rsidRPr="00074DF6">
        <w:rPr>
          <w:rFonts w:ascii="Times New Roman" w:hAnsi="Times New Roman" w:cs="Times New Roman"/>
          <w:b/>
          <w:sz w:val="24"/>
          <w:szCs w:val="24"/>
        </w:rPr>
        <w:t>206 bin</w:t>
      </w:r>
      <w:r w:rsidR="00DE7895" w:rsidRPr="00074DF6">
        <w:rPr>
          <w:rFonts w:ascii="Times New Roman" w:hAnsi="Times New Roman" w:cs="Times New Roman"/>
          <w:b/>
          <w:sz w:val="24"/>
          <w:szCs w:val="24"/>
        </w:rPr>
        <w:t xml:space="preserve"> adet trafo ve </w:t>
      </w:r>
      <w:r w:rsidR="00531A62" w:rsidRPr="00074DF6">
        <w:rPr>
          <w:rFonts w:ascii="Times New Roman" w:hAnsi="Times New Roman" w:cs="Times New Roman"/>
          <w:b/>
          <w:sz w:val="24"/>
          <w:szCs w:val="24"/>
        </w:rPr>
        <w:t xml:space="preserve">dünyanın etrafını 37 kez dolaşabilecek büyüklükteki </w:t>
      </w:r>
      <w:r w:rsidR="00DD0591" w:rsidRPr="00074DF6">
        <w:rPr>
          <w:rFonts w:ascii="Times New Roman" w:hAnsi="Times New Roman" w:cs="Times New Roman"/>
          <w:b/>
          <w:sz w:val="24"/>
          <w:szCs w:val="24"/>
        </w:rPr>
        <w:t>1 milyon 460 bin</w:t>
      </w:r>
      <w:r w:rsidR="00DE7895" w:rsidRPr="00074DF6">
        <w:rPr>
          <w:rFonts w:ascii="Times New Roman" w:hAnsi="Times New Roman" w:cs="Times New Roman"/>
          <w:b/>
          <w:sz w:val="24"/>
          <w:szCs w:val="24"/>
        </w:rPr>
        <w:t xml:space="preserve"> km. hat uzunluğundaki</w:t>
      </w:r>
      <w:r w:rsidR="00FE479D" w:rsidRPr="00074DF6">
        <w:rPr>
          <w:rFonts w:ascii="Times New Roman" w:hAnsi="Times New Roman" w:cs="Times New Roman"/>
          <w:b/>
          <w:sz w:val="24"/>
          <w:szCs w:val="24"/>
        </w:rPr>
        <w:t xml:space="preserve"> şebekenin işletilebilmesi için de her yıl ortalama </w:t>
      </w:r>
      <w:r w:rsidR="00DD0591" w:rsidRPr="00074DF6">
        <w:rPr>
          <w:rFonts w:ascii="Times New Roman" w:hAnsi="Times New Roman" w:cs="Times New Roman"/>
          <w:b/>
          <w:sz w:val="24"/>
          <w:szCs w:val="24"/>
        </w:rPr>
        <w:t>17,5 milyar</w:t>
      </w:r>
      <w:r w:rsidR="00FE479D" w:rsidRPr="00074DF6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="00A24564" w:rsidRPr="00074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558" w:rsidRPr="00074DF6">
        <w:rPr>
          <w:rFonts w:ascii="Times New Roman" w:hAnsi="Times New Roman" w:cs="Times New Roman"/>
          <w:b/>
          <w:sz w:val="24"/>
          <w:szCs w:val="24"/>
        </w:rPr>
        <w:t xml:space="preserve">olmak </w:t>
      </w:r>
      <w:r w:rsidR="00A24564" w:rsidRPr="00074DF6">
        <w:rPr>
          <w:rFonts w:ascii="Times New Roman" w:hAnsi="Times New Roman" w:cs="Times New Roman"/>
          <w:b/>
          <w:sz w:val="24"/>
          <w:szCs w:val="24"/>
        </w:rPr>
        <w:t>üzere toplamda 27 milyar TL</w:t>
      </w:r>
      <w:r w:rsidR="00FE479D" w:rsidRPr="00074DF6">
        <w:rPr>
          <w:rFonts w:ascii="Times New Roman" w:hAnsi="Times New Roman" w:cs="Times New Roman"/>
          <w:b/>
          <w:sz w:val="24"/>
          <w:szCs w:val="24"/>
        </w:rPr>
        <w:t xml:space="preserve"> harcama yapılmaktadır.</w:t>
      </w:r>
      <w:r w:rsidRPr="00074D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FE479D" w:rsidRPr="00074DF6">
        <w:rPr>
          <w:rFonts w:ascii="Times New Roman" w:hAnsi="Times New Roman" w:cs="Times New Roman"/>
          <w:b/>
          <w:sz w:val="24"/>
          <w:szCs w:val="24"/>
        </w:rPr>
        <w:t>Santrallerde üretilen ener</w:t>
      </w:r>
      <w:r w:rsidR="00E94549" w:rsidRPr="00074DF6">
        <w:rPr>
          <w:rFonts w:ascii="Times New Roman" w:hAnsi="Times New Roman" w:cs="Times New Roman"/>
          <w:b/>
          <w:sz w:val="24"/>
          <w:szCs w:val="24"/>
        </w:rPr>
        <w:t xml:space="preserve">jinin </w:t>
      </w:r>
      <w:r w:rsidR="00915558" w:rsidRPr="00074DF6">
        <w:rPr>
          <w:rFonts w:ascii="Times New Roman" w:hAnsi="Times New Roman" w:cs="Times New Roman"/>
          <w:b/>
          <w:sz w:val="24"/>
          <w:szCs w:val="24"/>
        </w:rPr>
        <w:t>tüketicilere</w:t>
      </w:r>
      <w:r w:rsidR="00FE479D" w:rsidRPr="00074DF6">
        <w:rPr>
          <w:rFonts w:ascii="Times New Roman" w:hAnsi="Times New Roman" w:cs="Times New Roman"/>
          <w:b/>
          <w:sz w:val="24"/>
          <w:szCs w:val="24"/>
        </w:rPr>
        <w:t xml:space="preserve"> kapıda teslimi için oluşan bu maliyetler de dağıtım bedelini oluşturmaktadır. </w:t>
      </w:r>
    </w:p>
    <w:p w:rsidR="00826586" w:rsidRPr="00074DF6" w:rsidRDefault="00074DF6" w:rsidP="008265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DF6">
        <w:rPr>
          <w:rFonts w:ascii="Times New Roman" w:hAnsi="Times New Roman" w:cs="Times New Roman"/>
          <w:b/>
          <w:sz w:val="24"/>
          <w:szCs w:val="24"/>
        </w:rPr>
        <w:t>D</w:t>
      </w:r>
      <w:r w:rsidR="00826586" w:rsidRPr="00074DF6">
        <w:rPr>
          <w:rFonts w:ascii="Times New Roman" w:hAnsi="Times New Roman" w:cs="Times New Roman"/>
          <w:b/>
          <w:sz w:val="24"/>
          <w:szCs w:val="24"/>
        </w:rPr>
        <w:t xml:space="preserve">ağıtım bedeli, elektrik faturasının dağıtılması bedeli değildir. </w:t>
      </w:r>
      <w:r w:rsidR="00531A62" w:rsidRPr="00074DF6">
        <w:rPr>
          <w:rFonts w:ascii="Times New Roman" w:hAnsi="Times New Roman" w:cs="Times New Roman"/>
          <w:b/>
          <w:sz w:val="24"/>
          <w:szCs w:val="24"/>
        </w:rPr>
        <w:t xml:space="preserve">Elektrik sayacının okunması bedeli de değildir. </w:t>
      </w:r>
    </w:p>
    <w:p w:rsidR="00826586" w:rsidRDefault="00A24564" w:rsidP="00826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Benzer şekilde</w:t>
      </w:r>
      <w:r w:rsidR="009155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26586">
        <w:rPr>
          <w:rFonts w:ascii="Times New Roman" w:hAnsi="Times New Roman" w:cs="Times New Roman"/>
          <w:sz w:val="24"/>
          <w:szCs w:val="24"/>
        </w:rPr>
        <w:t>arlada üretilen bir ürünü tarladaki çıkış fiyatıyla pazarda veya markette satın alamıyoruz. Çünkü o ürünün kullanıcıya teslim noktasına getirilmesinin de bir maliyeti var ve tüketici olarak bu maliyeti de ödemekteyiz.</w:t>
      </w:r>
    </w:p>
    <w:p w:rsidR="000420CE" w:rsidRDefault="000420CE" w:rsidP="007C0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Dağıtım bedelinin belirlenmesi Elektrik Dağıtım </w:t>
      </w:r>
      <w:r w:rsidR="00A24564">
        <w:rPr>
          <w:rFonts w:ascii="Times New Roman" w:hAnsi="Times New Roman" w:cs="Times New Roman"/>
          <w:sz w:val="24"/>
          <w:szCs w:val="24"/>
        </w:rPr>
        <w:t xml:space="preserve">veya Perakende Satış </w:t>
      </w:r>
      <w:r>
        <w:rPr>
          <w:rFonts w:ascii="Times New Roman" w:hAnsi="Times New Roman" w:cs="Times New Roman"/>
          <w:sz w:val="24"/>
          <w:szCs w:val="24"/>
        </w:rPr>
        <w:t>Şirketlerinin yetkisinde değildir. Enerji Piyasası Düzenleme Kurumu, yukarıda belirtilen maliyetlerden hareketle hizmet</w:t>
      </w:r>
      <w:r w:rsidR="0082658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kalite</w:t>
      </w:r>
      <w:r w:rsidR="00826586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bir şekilde karşılanması ve verimliliği de dikkate alarak dağıtım bedelini belirler ve </w:t>
      </w:r>
      <w:r w:rsidR="00074DF6">
        <w:rPr>
          <w:rFonts w:ascii="Times New Roman" w:hAnsi="Times New Roman" w:cs="Times New Roman"/>
          <w:sz w:val="24"/>
          <w:szCs w:val="24"/>
        </w:rPr>
        <w:t>ilgili ş</w:t>
      </w:r>
      <w:r w:rsidR="00A24564">
        <w:rPr>
          <w:rFonts w:ascii="Times New Roman" w:hAnsi="Times New Roman" w:cs="Times New Roman"/>
          <w:sz w:val="24"/>
          <w:szCs w:val="24"/>
        </w:rPr>
        <w:t xml:space="preserve">irketler </w:t>
      </w:r>
      <w:r>
        <w:rPr>
          <w:rFonts w:ascii="Times New Roman" w:hAnsi="Times New Roman" w:cs="Times New Roman"/>
          <w:sz w:val="24"/>
          <w:szCs w:val="24"/>
        </w:rPr>
        <w:t>belirlenmiş olan bu tarifeyi uygularlar.</w:t>
      </w:r>
    </w:p>
    <w:p w:rsidR="00A24564" w:rsidRDefault="00DE7895" w:rsidP="007C0379">
      <w:pPr>
        <w:jc w:val="both"/>
        <w:rPr>
          <w:rFonts w:ascii="Times New Roman" w:hAnsi="Times New Roman" w:cs="Times New Roman"/>
          <w:sz w:val="24"/>
          <w:szCs w:val="24"/>
        </w:rPr>
      </w:pPr>
      <w:r w:rsidRPr="00F329C0">
        <w:rPr>
          <w:rFonts w:ascii="Times New Roman" w:hAnsi="Times New Roman" w:cs="Times New Roman"/>
          <w:b/>
          <w:sz w:val="24"/>
          <w:szCs w:val="24"/>
        </w:rPr>
        <w:t>Dağıtım bedeli</w:t>
      </w:r>
      <w:r w:rsidR="00E94549" w:rsidRPr="00F329C0">
        <w:rPr>
          <w:rFonts w:ascii="Times New Roman" w:hAnsi="Times New Roman" w:cs="Times New Roman"/>
          <w:b/>
          <w:sz w:val="24"/>
          <w:szCs w:val="24"/>
        </w:rPr>
        <w:t>,</w:t>
      </w:r>
      <w:r w:rsidR="00E20D55" w:rsidRPr="00F329C0">
        <w:rPr>
          <w:rFonts w:ascii="Times New Roman" w:hAnsi="Times New Roman" w:cs="Times New Roman"/>
          <w:b/>
          <w:sz w:val="24"/>
          <w:szCs w:val="24"/>
        </w:rPr>
        <w:t xml:space="preserve"> ülkemize has bir bedel </w:t>
      </w:r>
      <w:r w:rsidRPr="00F329C0">
        <w:rPr>
          <w:rFonts w:ascii="Times New Roman" w:hAnsi="Times New Roman" w:cs="Times New Roman"/>
          <w:b/>
          <w:sz w:val="24"/>
          <w:szCs w:val="24"/>
        </w:rPr>
        <w:t>değildir.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0CE">
        <w:rPr>
          <w:rFonts w:ascii="Times New Roman" w:hAnsi="Times New Roman" w:cs="Times New Roman"/>
          <w:sz w:val="24"/>
          <w:szCs w:val="24"/>
        </w:rPr>
        <w:t>Elektrik faaliyetinin yapıldığı her ülkede maliyetin bir unsurudur.</w:t>
      </w:r>
      <w:r w:rsidR="00826586">
        <w:rPr>
          <w:rFonts w:ascii="Times New Roman" w:hAnsi="Times New Roman" w:cs="Times New Roman"/>
          <w:sz w:val="24"/>
          <w:szCs w:val="24"/>
        </w:rPr>
        <w:t xml:space="preserve"> </w:t>
      </w:r>
      <w:r w:rsidR="00A815EE">
        <w:rPr>
          <w:rFonts w:ascii="Times New Roman" w:hAnsi="Times New Roman" w:cs="Times New Roman"/>
          <w:sz w:val="24"/>
          <w:szCs w:val="24"/>
        </w:rPr>
        <w:t xml:space="preserve">Faturalardaki dağıtım bedeli ülkemizde vergiler hariç yüzde 35 iken AB’de bu rakam yüzde 51 seviyesindedir. </w:t>
      </w:r>
    </w:p>
    <w:p w:rsidR="000420CE" w:rsidRDefault="000420CE" w:rsidP="007C0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928" w:rsidRDefault="00C73928" w:rsidP="007C0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940425" cy="6772275"/>
            <wp:effectExtent l="0" t="0" r="3175" b="9525"/>
            <wp:docPr id="4" name="Grafik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24016C17-C02F-4042-9455-0073E99C38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1BE6" w:rsidRDefault="00C5021C" w:rsidP="007C0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ülke ortalamasına bakıldığında enerji bedeli ortalama 9 €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iken </w:t>
      </w:r>
      <w:r w:rsidR="008E63D8">
        <w:rPr>
          <w:rFonts w:ascii="Times New Roman" w:hAnsi="Times New Roman" w:cs="Times New Roman"/>
          <w:sz w:val="24"/>
          <w:szCs w:val="24"/>
        </w:rPr>
        <w:t xml:space="preserve">ülkemizde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63D8">
        <w:rPr>
          <w:rFonts w:ascii="Times New Roman" w:hAnsi="Times New Roman" w:cs="Times New Roman"/>
          <w:sz w:val="24"/>
          <w:szCs w:val="24"/>
        </w:rPr>
        <w:t xml:space="preserve"> € </w:t>
      </w:r>
      <w:proofErr w:type="spellStart"/>
      <w:r w:rsidR="008E63D8">
        <w:rPr>
          <w:rFonts w:ascii="Times New Roman" w:hAnsi="Times New Roman" w:cs="Times New Roman"/>
          <w:sz w:val="24"/>
          <w:szCs w:val="24"/>
        </w:rPr>
        <w:t>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dağıtım bedeli ortalama 9,9 €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iken bizde 2,7</w:t>
      </w:r>
      <w:r w:rsidR="008E63D8">
        <w:rPr>
          <w:rFonts w:ascii="Times New Roman" w:hAnsi="Times New Roman" w:cs="Times New Roman"/>
          <w:sz w:val="24"/>
          <w:szCs w:val="24"/>
        </w:rPr>
        <w:t xml:space="preserve"> € </w:t>
      </w:r>
      <w:proofErr w:type="spellStart"/>
      <w:r w:rsidR="008E63D8">
        <w:rPr>
          <w:rFonts w:ascii="Times New Roman" w:hAnsi="Times New Roman" w:cs="Times New Roman"/>
          <w:sz w:val="24"/>
          <w:szCs w:val="24"/>
        </w:rPr>
        <w:t>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gerçekleşmiş</w:t>
      </w:r>
      <w:r w:rsidR="008E63D8">
        <w:rPr>
          <w:rFonts w:ascii="Times New Roman" w:hAnsi="Times New Roman" w:cs="Times New Roman"/>
          <w:sz w:val="24"/>
          <w:szCs w:val="24"/>
        </w:rPr>
        <w:t>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419E">
        <w:rPr>
          <w:rFonts w:ascii="Times New Roman" w:hAnsi="Times New Roman" w:cs="Times New Roman"/>
          <w:sz w:val="24"/>
          <w:szCs w:val="24"/>
        </w:rPr>
        <w:t xml:space="preserve">Dağıtım bedelinin toplama oranına bakıldığında ortalama %51 iken bizde bu oran %35 </w:t>
      </w:r>
      <w:r w:rsidR="008E63D8">
        <w:rPr>
          <w:rFonts w:ascii="Times New Roman" w:hAnsi="Times New Roman" w:cs="Times New Roman"/>
          <w:sz w:val="24"/>
          <w:szCs w:val="24"/>
        </w:rPr>
        <w:t>olmuştur</w:t>
      </w:r>
      <w:r w:rsidR="00DB41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928" w:rsidRDefault="00C73928" w:rsidP="007C0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940425" cy="3733800"/>
            <wp:effectExtent l="0" t="0" r="3175" b="0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BB32D4F4-50E3-49A7-976C-2D14455EA9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3928" w:rsidRDefault="00C73928" w:rsidP="007C0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67D" w:rsidRDefault="0043367D" w:rsidP="007C0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67D" w:rsidRDefault="0043367D" w:rsidP="00E72D74">
      <w:pPr>
        <w:rPr>
          <w:rFonts w:ascii="Times New Roman" w:hAnsi="Times New Roman" w:cs="Times New Roman"/>
          <w:sz w:val="24"/>
          <w:szCs w:val="24"/>
        </w:rPr>
        <w:sectPr w:rsidR="0043367D" w:rsidSect="003333DF">
          <w:type w:val="continuous"/>
          <w:pgSz w:w="11906" w:h="16838"/>
          <w:pgMar w:top="1418" w:right="851" w:bottom="142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BA7ECB" w:rsidRPr="00AF040D" w:rsidRDefault="00BA7ECB" w:rsidP="003E6CB1">
      <w:pPr>
        <w:rPr>
          <w:rFonts w:ascii="Times New Roman" w:hAnsi="Times New Roman" w:cs="Times New Roman"/>
          <w:sz w:val="24"/>
          <w:szCs w:val="24"/>
        </w:rPr>
      </w:pPr>
    </w:p>
    <w:sectPr w:rsidR="00BA7ECB" w:rsidRPr="00AF040D" w:rsidSect="003333DF">
      <w:type w:val="continuous"/>
      <w:pgSz w:w="11906" w:h="16838"/>
      <w:pgMar w:top="141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9A" w:rsidRDefault="00EE0C9A" w:rsidP="00D56D67">
      <w:pPr>
        <w:spacing w:after="0" w:line="240" w:lineRule="auto"/>
      </w:pPr>
      <w:r>
        <w:separator/>
      </w:r>
    </w:p>
  </w:endnote>
  <w:endnote w:type="continuationSeparator" w:id="0">
    <w:p w:rsidR="00EE0C9A" w:rsidRDefault="00EE0C9A" w:rsidP="00D5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706329"/>
      <w:docPartObj>
        <w:docPartGallery w:val="Page Numbers (Bottom of Page)"/>
        <w:docPartUnique/>
      </w:docPartObj>
    </w:sdtPr>
    <w:sdtContent>
      <w:p w:rsidR="00D56D67" w:rsidRDefault="00122550">
        <w:pPr>
          <w:pStyle w:val="Altbilgi"/>
          <w:jc w:val="right"/>
        </w:pPr>
        <w:r>
          <w:fldChar w:fldCharType="begin"/>
        </w:r>
        <w:r w:rsidR="00D56D67">
          <w:instrText>PAGE   \* MERGEFORMAT</w:instrText>
        </w:r>
        <w:r>
          <w:fldChar w:fldCharType="separate"/>
        </w:r>
        <w:r w:rsidR="00CB7B3D">
          <w:rPr>
            <w:noProof/>
          </w:rPr>
          <w:t>2</w:t>
        </w:r>
        <w:r>
          <w:fldChar w:fldCharType="end"/>
        </w:r>
      </w:p>
    </w:sdtContent>
  </w:sdt>
  <w:p w:rsidR="00D56D67" w:rsidRDefault="00D56D67">
    <w:pPr>
      <w:pStyle w:val="Altbilgi"/>
    </w:pPr>
  </w:p>
  <w:p w:rsidR="00581CCE" w:rsidRDefault="00581C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9A" w:rsidRDefault="00EE0C9A" w:rsidP="00D56D67">
      <w:pPr>
        <w:spacing w:after="0" w:line="240" w:lineRule="auto"/>
      </w:pPr>
      <w:r>
        <w:separator/>
      </w:r>
    </w:p>
  </w:footnote>
  <w:footnote w:type="continuationSeparator" w:id="0">
    <w:p w:rsidR="00EE0C9A" w:rsidRDefault="00EE0C9A" w:rsidP="00D5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DDE" w:rsidRPr="006B1A93" w:rsidRDefault="006E5DDE">
    <w:pPr>
      <w:pStyle w:val="stbilgi"/>
      <w:rPr>
        <w:rFonts w:ascii="Times New Roman" w:hAnsi="Times New Roman" w:cs="Times New Roman"/>
        <w:sz w:val="20"/>
        <w:szCs w:val="20"/>
      </w:rPr>
    </w:pPr>
  </w:p>
  <w:p w:rsidR="00581CCE" w:rsidRDefault="00581C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E68"/>
    <w:rsid w:val="000420CE"/>
    <w:rsid w:val="00074DF6"/>
    <w:rsid w:val="000844BF"/>
    <w:rsid w:val="000A2400"/>
    <w:rsid w:val="000A41F9"/>
    <w:rsid w:val="000D1D0D"/>
    <w:rsid w:val="000D351C"/>
    <w:rsid w:val="00101C5B"/>
    <w:rsid w:val="00112944"/>
    <w:rsid w:val="00122550"/>
    <w:rsid w:val="00134C31"/>
    <w:rsid w:val="00142F89"/>
    <w:rsid w:val="00166532"/>
    <w:rsid w:val="001678C8"/>
    <w:rsid w:val="001C510B"/>
    <w:rsid w:val="001D7C8D"/>
    <w:rsid w:val="001F135B"/>
    <w:rsid w:val="00244482"/>
    <w:rsid w:val="002526C7"/>
    <w:rsid w:val="00254B28"/>
    <w:rsid w:val="00254D27"/>
    <w:rsid w:val="00270C1A"/>
    <w:rsid w:val="002850D0"/>
    <w:rsid w:val="00293A89"/>
    <w:rsid w:val="002945AF"/>
    <w:rsid w:val="00294825"/>
    <w:rsid w:val="002C34C1"/>
    <w:rsid w:val="002C44EE"/>
    <w:rsid w:val="002D516E"/>
    <w:rsid w:val="00324C13"/>
    <w:rsid w:val="003333DF"/>
    <w:rsid w:val="0035227A"/>
    <w:rsid w:val="00380E47"/>
    <w:rsid w:val="00385B43"/>
    <w:rsid w:val="00391852"/>
    <w:rsid w:val="003D6E68"/>
    <w:rsid w:val="003E4FAD"/>
    <w:rsid w:val="003E6CB1"/>
    <w:rsid w:val="003F4B4C"/>
    <w:rsid w:val="0043367D"/>
    <w:rsid w:val="004426C0"/>
    <w:rsid w:val="00460939"/>
    <w:rsid w:val="00475EC7"/>
    <w:rsid w:val="004D7027"/>
    <w:rsid w:val="004E0541"/>
    <w:rsid w:val="005206E1"/>
    <w:rsid w:val="00531A62"/>
    <w:rsid w:val="00532B89"/>
    <w:rsid w:val="005553E1"/>
    <w:rsid w:val="00556577"/>
    <w:rsid w:val="0056133A"/>
    <w:rsid w:val="00564042"/>
    <w:rsid w:val="00581CCE"/>
    <w:rsid w:val="00590D88"/>
    <w:rsid w:val="005A24C5"/>
    <w:rsid w:val="00654836"/>
    <w:rsid w:val="00662ECA"/>
    <w:rsid w:val="00685BCC"/>
    <w:rsid w:val="006867F8"/>
    <w:rsid w:val="006876D5"/>
    <w:rsid w:val="006B1A93"/>
    <w:rsid w:val="006C37BE"/>
    <w:rsid w:val="006D2023"/>
    <w:rsid w:val="006E5DDE"/>
    <w:rsid w:val="006F153B"/>
    <w:rsid w:val="006F3425"/>
    <w:rsid w:val="007027C4"/>
    <w:rsid w:val="007264E7"/>
    <w:rsid w:val="00727D7B"/>
    <w:rsid w:val="00767250"/>
    <w:rsid w:val="00781F18"/>
    <w:rsid w:val="00782043"/>
    <w:rsid w:val="007826D9"/>
    <w:rsid w:val="007A6B69"/>
    <w:rsid w:val="007C0379"/>
    <w:rsid w:val="007C0CE6"/>
    <w:rsid w:val="007D5F56"/>
    <w:rsid w:val="008108DD"/>
    <w:rsid w:val="00826586"/>
    <w:rsid w:val="00843404"/>
    <w:rsid w:val="00843F00"/>
    <w:rsid w:val="008704B8"/>
    <w:rsid w:val="008E40F0"/>
    <w:rsid w:val="008E63D8"/>
    <w:rsid w:val="008F3370"/>
    <w:rsid w:val="009002AC"/>
    <w:rsid w:val="00915558"/>
    <w:rsid w:val="009209F6"/>
    <w:rsid w:val="00925834"/>
    <w:rsid w:val="00927413"/>
    <w:rsid w:val="00933532"/>
    <w:rsid w:val="00947EAC"/>
    <w:rsid w:val="00A124D4"/>
    <w:rsid w:val="00A20655"/>
    <w:rsid w:val="00A24564"/>
    <w:rsid w:val="00A35BBF"/>
    <w:rsid w:val="00A50246"/>
    <w:rsid w:val="00A6690B"/>
    <w:rsid w:val="00A815EE"/>
    <w:rsid w:val="00AA6F38"/>
    <w:rsid w:val="00AC1BE2"/>
    <w:rsid w:val="00AF040D"/>
    <w:rsid w:val="00B33602"/>
    <w:rsid w:val="00B408A6"/>
    <w:rsid w:val="00B62E91"/>
    <w:rsid w:val="00B808A1"/>
    <w:rsid w:val="00BA1BE6"/>
    <w:rsid w:val="00BA7ECB"/>
    <w:rsid w:val="00C13902"/>
    <w:rsid w:val="00C42A9D"/>
    <w:rsid w:val="00C5021C"/>
    <w:rsid w:val="00C626C3"/>
    <w:rsid w:val="00C73928"/>
    <w:rsid w:val="00CB5EF3"/>
    <w:rsid w:val="00CB7B3D"/>
    <w:rsid w:val="00CE1388"/>
    <w:rsid w:val="00CF5987"/>
    <w:rsid w:val="00CF747F"/>
    <w:rsid w:val="00D00421"/>
    <w:rsid w:val="00D05E6E"/>
    <w:rsid w:val="00D23CB5"/>
    <w:rsid w:val="00D26749"/>
    <w:rsid w:val="00D34ECC"/>
    <w:rsid w:val="00D56D67"/>
    <w:rsid w:val="00DB419E"/>
    <w:rsid w:val="00DD0591"/>
    <w:rsid w:val="00DE7895"/>
    <w:rsid w:val="00DF5663"/>
    <w:rsid w:val="00DF6A8C"/>
    <w:rsid w:val="00E00D7B"/>
    <w:rsid w:val="00E20D55"/>
    <w:rsid w:val="00E30896"/>
    <w:rsid w:val="00E40F2C"/>
    <w:rsid w:val="00E72D74"/>
    <w:rsid w:val="00E94549"/>
    <w:rsid w:val="00EA0982"/>
    <w:rsid w:val="00EA5961"/>
    <w:rsid w:val="00EB01B2"/>
    <w:rsid w:val="00EB5CB8"/>
    <w:rsid w:val="00EC3DA4"/>
    <w:rsid w:val="00ED2B78"/>
    <w:rsid w:val="00EE0C9A"/>
    <w:rsid w:val="00F06AB7"/>
    <w:rsid w:val="00F15B51"/>
    <w:rsid w:val="00F329C0"/>
    <w:rsid w:val="00FA5405"/>
    <w:rsid w:val="00FC4FC8"/>
    <w:rsid w:val="00FC678E"/>
    <w:rsid w:val="00FD1417"/>
    <w:rsid w:val="00FE479D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6D67"/>
  </w:style>
  <w:style w:type="paragraph" w:styleId="Altbilgi">
    <w:name w:val="footer"/>
    <w:basedOn w:val="Normal"/>
    <w:link w:val="AltbilgiChar"/>
    <w:uiPriority w:val="99"/>
    <w:unhideWhenUsed/>
    <w:rsid w:val="00D5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6D67"/>
  </w:style>
  <w:style w:type="table" w:styleId="AkGlgeleme-Vurgu1">
    <w:name w:val="Light Shading Accent 1"/>
    <w:basedOn w:val="NormalTablo"/>
    <w:uiPriority w:val="60"/>
    <w:rsid w:val="00EA09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C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Kopya%20nrg_pc_204_c%20(1)%20Dosyas&#305;n&#305;n%20Kopyas&#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Kopya%20nrg_pc_204_c%20(1)%20Dosyas&#305;n&#305;n%20Kopyas&#30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Mesken AG Dağıtım Bedeli Payı EU-TR</a:t>
            </a:r>
          </a:p>
        </c:rich>
      </c:tx>
      <c:layout>
        <c:manualLayout>
          <c:xMode val="edge"/>
          <c:yMode val="edge"/>
          <c:x val="0.27199888896838198"/>
          <c:y val="0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Sayfa1!$B$2</c:f>
              <c:strCache>
                <c:ptCount val="1"/>
                <c:pt idx="0">
                  <c:v>Aktif Enerji Bedeli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Sayfa1!$A$3:$A$40</c:f>
              <c:strCache>
                <c:ptCount val="38"/>
                <c:pt idx="0">
                  <c:v>Malta</c:v>
                </c:pt>
                <c:pt idx="1">
                  <c:v>G. Kıbrıs</c:v>
                </c:pt>
                <c:pt idx="2">
                  <c:v>Eski Yug.</c:v>
                </c:pt>
                <c:pt idx="3">
                  <c:v>İspanya</c:v>
                </c:pt>
                <c:pt idx="4">
                  <c:v>Moldova</c:v>
                </c:pt>
                <c:pt idx="5">
                  <c:v>Yunanistan</c:v>
                </c:pt>
                <c:pt idx="6">
                  <c:v>Kosova</c:v>
                </c:pt>
                <c:pt idx="7">
                  <c:v>İngiltere</c:v>
                </c:pt>
                <c:pt idx="8">
                  <c:v>Türkiye</c:v>
                </c:pt>
                <c:pt idx="9">
                  <c:v>Bulgaristan</c:v>
                </c:pt>
                <c:pt idx="10">
                  <c:v>İtalya</c:v>
                </c:pt>
                <c:pt idx="11">
                  <c:v>Romanya</c:v>
                </c:pt>
                <c:pt idx="12">
                  <c:v>İrlanda</c:v>
                </c:pt>
                <c:pt idx="13">
                  <c:v>Fransa</c:v>
                </c:pt>
                <c:pt idx="14">
                  <c:v>Çek Cum.</c:v>
                </c:pt>
                <c:pt idx="15">
                  <c:v>Bosna Hersek</c:v>
                </c:pt>
                <c:pt idx="16">
                  <c:v>Lihtenştayn</c:v>
                </c:pt>
                <c:pt idx="17">
                  <c:v>Hırvatistan</c:v>
                </c:pt>
                <c:pt idx="18">
                  <c:v>Belçika</c:v>
                </c:pt>
                <c:pt idx="19">
                  <c:v>Litvanya</c:v>
                </c:pt>
                <c:pt idx="20">
                  <c:v>Macaristan</c:v>
                </c:pt>
                <c:pt idx="21">
                  <c:v>Almanya</c:v>
                </c:pt>
                <c:pt idx="22">
                  <c:v>Portekiz</c:v>
                </c:pt>
                <c:pt idx="23">
                  <c:v>Estonya</c:v>
                </c:pt>
                <c:pt idx="24">
                  <c:v>Polonya</c:v>
                </c:pt>
                <c:pt idx="25">
                  <c:v>Avusturya</c:v>
                </c:pt>
                <c:pt idx="26">
                  <c:v>Lettonya</c:v>
                </c:pt>
                <c:pt idx="27">
                  <c:v>Slovenya</c:v>
                </c:pt>
                <c:pt idx="28">
                  <c:v>Finlandiya</c:v>
                </c:pt>
                <c:pt idx="29">
                  <c:v>Slovakya</c:v>
                </c:pt>
                <c:pt idx="30">
                  <c:v>Sırbistan</c:v>
                </c:pt>
                <c:pt idx="31">
                  <c:v>Hollanda</c:v>
                </c:pt>
                <c:pt idx="32">
                  <c:v>Lüksemburg</c:v>
                </c:pt>
                <c:pt idx="33">
                  <c:v>Karadağ</c:v>
                </c:pt>
                <c:pt idx="34">
                  <c:v>Danimarka</c:v>
                </c:pt>
                <c:pt idx="35">
                  <c:v>Norveç</c:v>
                </c:pt>
                <c:pt idx="36">
                  <c:v>İsveç</c:v>
                </c:pt>
                <c:pt idx="37">
                  <c:v>İzlanda</c:v>
                </c:pt>
              </c:strCache>
            </c:strRef>
          </c:cat>
          <c:val>
            <c:numRef>
              <c:f>Sayfa1!$B$3:$B$40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AF-4D6F-A21E-D7C2855C7531}"/>
            </c:ext>
          </c:extLst>
        </c:ser>
        <c:ser>
          <c:idx val="1"/>
          <c:order val="1"/>
          <c:tx>
            <c:strRef>
              <c:f>Sayfa1!$C$2</c:f>
              <c:strCache>
                <c:ptCount val="1"/>
                <c:pt idx="0">
                  <c:v>Dağıtım Bedeli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Sayfa1!$A$3:$A$40</c:f>
              <c:strCache>
                <c:ptCount val="38"/>
                <c:pt idx="0">
                  <c:v>Malta</c:v>
                </c:pt>
                <c:pt idx="1">
                  <c:v>G. Kıbrıs</c:v>
                </c:pt>
                <c:pt idx="2">
                  <c:v>Eski Yug.</c:v>
                </c:pt>
                <c:pt idx="3">
                  <c:v>İspanya</c:v>
                </c:pt>
                <c:pt idx="4">
                  <c:v>Moldova</c:v>
                </c:pt>
                <c:pt idx="5">
                  <c:v>Yunanistan</c:v>
                </c:pt>
                <c:pt idx="6">
                  <c:v>Kosova</c:v>
                </c:pt>
                <c:pt idx="7">
                  <c:v>İngiltere</c:v>
                </c:pt>
                <c:pt idx="8">
                  <c:v>Türkiye</c:v>
                </c:pt>
                <c:pt idx="9">
                  <c:v>Bulgaristan</c:v>
                </c:pt>
                <c:pt idx="10">
                  <c:v>İtalya</c:v>
                </c:pt>
                <c:pt idx="11">
                  <c:v>Romanya</c:v>
                </c:pt>
                <c:pt idx="12">
                  <c:v>İrlanda</c:v>
                </c:pt>
                <c:pt idx="13">
                  <c:v>Fransa</c:v>
                </c:pt>
                <c:pt idx="14">
                  <c:v>Çek Cum.</c:v>
                </c:pt>
                <c:pt idx="15">
                  <c:v>Bosna Hersek</c:v>
                </c:pt>
                <c:pt idx="16">
                  <c:v>Lihtenştayn</c:v>
                </c:pt>
                <c:pt idx="17">
                  <c:v>Hırvatistan</c:v>
                </c:pt>
                <c:pt idx="18">
                  <c:v>Belçika</c:v>
                </c:pt>
                <c:pt idx="19">
                  <c:v>Litvanya</c:v>
                </c:pt>
                <c:pt idx="20">
                  <c:v>Macaristan</c:v>
                </c:pt>
                <c:pt idx="21">
                  <c:v>Almanya</c:v>
                </c:pt>
                <c:pt idx="22">
                  <c:v>Portekiz</c:v>
                </c:pt>
                <c:pt idx="23">
                  <c:v>Estonya</c:v>
                </c:pt>
                <c:pt idx="24">
                  <c:v>Polonya</c:v>
                </c:pt>
                <c:pt idx="25">
                  <c:v>Avusturya</c:v>
                </c:pt>
                <c:pt idx="26">
                  <c:v>Lettonya</c:v>
                </c:pt>
                <c:pt idx="27">
                  <c:v>Slovenya</c:v>
                </c:pt>
                <c:pt idx="28">
                  <c:v>Finlandiya</c:v>
                </c:pt>
                <c:pt idx="29">
                  <c:v>Slovakya</c:v>
                </c:pt>
                <c:pt idx="30">
                  <c:v>Sırbistan</c:v>
                </c:pt>
                <c:pt idx="31">
                  <c:v>Hollanda</c:v>
                </c:pt>
                <c:pt idx="32">
                  <c:v>Lüksemburg</c:v>
                </c:pt>
                <c:pt idx="33">
                  <c:v>Karadağ</c:v>
                </c:pt>
                <c:pt idx="34">
                  <c:v>Danimarka</c:v>
                </c:pt>
                <c:pt idx="35">
                  <c:v>Norveç</c:v>
                </c:pt>
                <c:pt idx="36">
                  <c:v>İsveç</c:v>
                </c:pt>
                <c:pt idx="37">
                  <c:v>İzlanda</c:v>
                </c:pt>
              </c:strCache>
            </c:strRef>
          </c:cat>
          <c:val>
            <c:numRef>
              <c:f>Sayfa1!$C$3:$C$40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AF-4D6F-A21E-D7C2855C7531}"/>
            </c:ext>
          </c:extLst>
        </c:ser>
        <c:ser>
          <c:idx val="2"/>
          <c:order val="2"/>
          <c:tx>
            <c:strRef>
              <c:f>Sayfa1!$D$2</c:f>
              <c:strCache>
                <c:ptCount val="1"/>
                <c:pt idx="0">
                  <c:v>D/(A+D)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8"/>
            <c:spPr>
              <a:solidFill>
                <a:schemeClr val="accent6">
                  <a:lumMod val="75000"/>
                </a:schemeClr>
              </a:solidFill>
              <a:ln>
                <a:solidFill>
                  <a:srgbClr val="00B05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AF-4D6F-A21E-D7C2855C7531}"/>
              </c:ext>
            </c:extLst>
          </c:dPt>
          <c:cat>
            <c:strRef>
              <c:f>Sayfa1!$A$3:$A$40</c:f>
              <c:strCache>
                <c:ptCount val="38"/>
                <c:pt idx="0">
                  <c:v>Malta</c:v>
                </c:pt>
                <c:pt idx="1">
                  <c:v>G. Kıbrıs</c:v>
                </c:pt>
                <c:pt idx="2">
                  <c:v>Eski Yug.</c:v>
                </c:pt>
                <c:pt idx="3">
                  <c:v>İspanya</c:v>
                </c:pt>
                <c:pt idx="4">
                  <c:v>Moldova</c:v>
                </c:pt>
                <c:pt idx="5">
                  <c:v>Yunanistan</c:v>
                </c:pt>
                <c:pt idx="6">
                  <c:v>Kosova</c:v>
                </c:pt>
                <c:pt idx="7">
                  <c:v>İngiltere</c:v>
                </c:pt>
                <c:pt idx="8">
                  <c:v>Türkiye</c:v>
                </c:pt>
                <c:pt idx="9">
                  <c:v>Bulgaristan</c:v>
                </c:pt>
                <c:pt idx="10">
                  <c:v>İtalya</c:v>
                </c:pt>
                <c:pt idx="11">
                  <c:v>Romanya</c:v>
                </c:pt>
                <c:pt idx="12">
                  <c:v>İrlanda</c:v>
                </c:pt>
                <c:pt idx="13">
                  <c:v>Fransa</c:v>
                </c:pt>
                <c:pt idx="14">
                  <c:v>Çek Cum.</c:v>
                </c:pt>
                <c:pt idx="15">
                  <c:v>Bosna Hersek</c:v>
                </c:pt>
                <c:pt idx="16">
                  <c:v>Lihtenştayn</c:v>
                </c:pt>
                <c:pt idx="17">
                  <c:v>Hırvatistan</c:v>
                </c:pt>
                <c:pt idx="18">
                  <c:v>Belçika</c:v>
                </c:pt>
                <c:pt idx="19">
                  <c:v>Litvanya</c:v>
                </c:pt>
                <c:pt idx="20">
                  <c:v>Macaristan</c:v>
                </c:pt>
                <c:pt idx="21">
                  <c:v>Almanya</c:v>
                </c:pt>
                <c:pt idx="22">
                  <c:v>Portekiz</c:v>
                </c:pt>
                <c:pt idx="23">
                  <c:v>Estonya</c:v>
                </c:pt>
                <c:pt idx="24">
                  <c:v>Polonya</c:v>
                </c:pt>
                <c:pt idx="25">
                  <c:v>Avusturya</c:v>
                </c:pt>
                <c:pt idx="26">
                  <c:v>Lettonya</c:v>
                </c:pt>
                <c:pt idx="27">
                  <c:v>Slovenya</c:v>
                </c:pt>
                <c:pt idx="28">
                  <c:v>Finlandiya</c:v>
                </c:pt>
                <c:pt idx="29">
                  <c:v>Slovakya</c:v>
                </c:pt>
                <c:pt idx="30">
                  <c:v>Sırbistan</c:v>
                </c:pt>
                <c:pt idx="31">
                  <c:v>Hollanda</c:v>
                </c:pt>
                <c:pt idx="32">
                  <c:v>Lüksemburg</c:v>
                </c:pt>
                <c:pt idx="33">
                  <c:v>Karadağ</c:v>
                </c:pt>
                <c:pt idx="34">
                  <c:v>Danimarka</c:v>
                </c:pt>
                <c:pt idx="35">
                  <c:v>Norveç</c:v>
                </c:pt>
                <c:pt idx="36">
                  <c:v>İsveç</c:v>
                </c:pt>
                <c:pt idx="37">
                  <c:v>İzlanda</c:v>
                </c:pt>
              </c:strCache>
            </c:strRef>
          </c:cat>
          <c:val>
            <c:numRef>
              <c:f>Sayfa1!$D$3:$D$40</c:f>
              <c:numCache>
                <c:formatCode>0%</c:formatCode>
                <c:ptCount val="38"/>
                <c:pt idx="0">
                  <c:v>5.9539918809201627E-2</c:v>
                </c:pt>
                <c:pt idx="1">
                  <c:v>0.17010869565217401</c:v>
                </c:pt>
                <c:pt idx="2">
                  <c:v>0.26458036984352812</c:v>
                </c:pt>
                <c:pt idx="3">
                  <c:v>0.30922080821612002</c:v>
                </c:pt>
                <c:pt idx="4">
                  <c:v>0.312757201646091</c:v>
                </c:pt>
                <c:pt idx="5">
                  <c:v>0.32191780821917815</c:v>
                </c:pt>
                <c:pt idx="6">
                  <c:v>0.33333333333333298</c:v>
                </c:pt>
                <c:pt idx="7">
                  <c:v>0.34825102880658387</c:v>
                </c:pt>
                <c:pt idx="8">
                  <c:v>0.35103626943005212</c:v>
                </c:pt>
                <c:pt idx="9">
                  <c:v>0.3596214511041011</c:v>
                </c:pt>
                <c:pt idx="10">
                  <c:v>0.37843933243121303</c:v>
                </c:pt>
                <c:pt idx="11">
                  <c:v>0.45874587458745902</c:v>
                </c:pt>
                <c:pt idx="12">
                  <c:v>0.46651346027577212</c:v>
                </c:pt>
                <c:pt idx="13">
                  <c:v>0.47447447447447522</c:v>
                </c:pt>
                <c:pt idx="14">
                  <c:v>0.47879942829918987</c:v>
                </c:pt>
                <c:pt idx="15">
                  <c:v>0.50194986072423398</c:v>
                </c:pt>
                <c:pt idx="16">
                  <c:v>0.50627615062761477</c:v>
                </c:pt>
                <c:pt idx="17">
                  <c:v>0.51620506776664676</c:v>
                </c:pt>
                <c:pt idx="18">
                  <c:v>0.52064631956912022</c:v>
                </c:pt>
                <c:pt idx="19">
                  <c:v>0.52130325814536282</c:v>
                </c:pt>
                <c:pt idx="20">
                  <c:v>0.53770812928501499</c:v>
                </c:pt>
                <c:pt idx="21">
                  <c:v>0.54295034432765477</c:v>
                </c:pt>
                <c:pt idx="22">
                  <c:v>0.55092592592592582</c:v>
                </c:pt>
                <c:pt idx="23">
                  <c:v>0.55532574974146776</c:v>
                </c:pt>
                <c:pt idx="24">
                  <c:v>0.58695652173912971</c:v>
                </c:pt>
                <c:pt idx="25">
                  <c:v>0.61165048543689327</c:v>
                </c:pt>
                <c:pt idx="26">
                  <c:v>0.62749615975422379</c:v>
                </c:pt>
                <c:pt idx="27">
                  <c:v>0.63278688524590099</c:v>
                </c:pt>
                <c:pt idx="28">
                  <c:v>0.64548361310951341</c:v>
                </c:pt>
                <c:pt idx="29">
                  <c:v>0.66687306501548038</c:v>
                </c:pt>
                <c:pt idx="30">
                  <c:v>0.67114454594304118</c:v>
                </c:pt>
                <c:pt idx="31">
                  <c:v>0.67295058554698695</c:v>
                </c:pt>
                <c:pt idx="32">
                  <c:v>0.6894639556377079</c:v>
                </c:pt>
                <c:pt idx="33">
                  <c:v>0.6964856230031955</c:v>
                </c:pt>
                <c:pt idx="34">
                  <c:v>0.74150566289140618</c:v>
                </c:pt>
                <c:pt idx="35">
                  <c:v>0.75874831763122541</c:v>
                </c:pt>
                <c:pt idx="36">
                  <c:v>0.81519274376417195</c:v>
                </c:pt>
                <c:pt idx="37">
                  <c:v>0.84040469973890297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DAF-4D6F-A21E-D7C2855C7531}"/>
            </c:ext>
          </c:extLst>
        </c:ser>
        <c:gapWidth val="115"/>
        <c:overlap val="-20"/>
        <c:axId val="100717696"/>
        <c:axId val="100719232"/>
      </c:barChart>
      <c:catAx>
        <c:axId val="100717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0719232"/>
        <c:crosses val="autoZero"/>
        <c:auto val="1"/>
        <c:lblAlgn val="ctr"/>
        <c:lblOffset val="100"/>
      </c:catAx>
      <c:valAx>
        <c:axId val="1007192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071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EU-TR</a:t>
            </a:r>
            <a:r>
              <a:rPr lang="tr-TR" baseline="0"/>
              <a:t> Dağıtım Bedeli-Enerji Dağılımı Karşılaştırması </a:t>
            </a:r>
            <a:endParaRPr lang="tr-TR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Sayfa1!$G$9</c:f>
              <c:strCache>
                <c:ptCount val="1"/>
                <c:pt idx="0">
                  <c:v>Dağıtım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cat>
            <c:strRef>
              <c:f>Sayfa1!$F$10:$F$11</c:f>
              <c:strCache>
                <c:ptCount val="2"/>
                <c:pt idx="0">
                  <c:v>Avrupa Ortalama</c:v>
                </c:pt>
                <c:pt idx="1">
                  <c:v>Türkiye</c:v>
                </c:pt>
              </c:strCache>
            </c:strRef>
          </c:cat>
          <c:val>
            <c:numRef>
              <c:f>Sayfa1!$G$10:$G$11</c:f>
              <c:numCache>
                <c:formatCode>0%</c:formatCode>
                <c:ptCount val="2"/>
                <c:pt idx="0">
                  <c:v>0.51309929278156019</c:v>
                </c:pt>
                <c:pt idx="1">
                  <c:v>0.35103626943005212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3C-480C-80AA-9DEA98A12988}"/>
            </c:ext>
          </c:extLst>
        </c:ser>
        <c:ser>
          <c:idx val="1"/>
          <c:order val="1"/>
          <c:tx>
            <c:strRef>
              <c:f>Sayfa1!$H$9</c:f>
              <c:strCache>
                <c:ptCount val="1"/>
                <c:pt idx="0">
                  <c:v>Enerji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cat>
            <c:strRef>
              <c:f>Sayfa1!$F$10:$F$11</c:f>
              <c:strCache>
                <c:ptCount val="2"/>
                <c:pt idx="0">
                  <c:v>Avrupa Ortalama</c:v>
                </c:pt>
                <c:pt idx="1">
                  <c:v>Türkiye</c:v>
                </c:pt>
              </c:strCache>
            </c:strRef>
          </c:cat>
          <c:val>
            <c:numRef>
              <c:f>Sayfa1!$H$10:$H$11</c:f>
              <c:numCache>
                <c:formatCode>0%</c:formatCode>
                <c:ptCount val="2"/>
                <c:pt idx="0">
                  <c:v>0.4869007072184402</c:v>
                </c:pt>
                <c:pt idx="1">
                  <c:v>0.64896373056994805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3C-480C-80AA-9DEA98A12988}"/>
            </c:ext>
          </c:extLst>
        </c:ser>
        <c:overlap val="100"/>
        <c:axId val="100688640"/>
        <c:axId val="100690176"/>
      </c:barChart>
      <c:catAx>
        <c:axId val="100688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0690176"/>
        <c:crosses val="autoZero"/>
        <c:auto val="1"/>
        <c:lblAlgn val="ctr"/>
        <c:lblOffset val="100"/>
      </c:catAx>
      <c:valAx>
        <c:axId val="100690176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0688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35D1-3C53-4C00-B0D5-EA94A45F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Nedim KORKUTATA</dc:creator>
  <cp:lastModifiedBy>Kamil Sinan YILDIZ</cp:lastModifiedBy>
  <cp:revision>4</cp:revision>
  <dcterms:created xsi:type="dcterms:W3CDTF">2019-02-01T07:10:00Z</dcterms:created>
  <dcterms:modified xsi:type="dcterms:W3CDTF">2019-02-01T07:24:00Z</dcterms:modified>
</cp:coreProperties>
</file>